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附件一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：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技术参数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拍摄格式：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4096×2160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像素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及以上，码率达到65m以上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语速标准：中文解说，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中文字幕，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每分钟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0到2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0字。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表现手法：采用实景拍摄、图片与素材剪辑、电脑动画特技等高科技手段有机结合。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技术运用：场景实拍与二维、三维特技制作，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满足动画特效服务，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非线性编辑与数字工作站剪辑，达芬奇调色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（或同品质）系统等设备进行后期制作，确保画面流畅、大气、唯美、有冲击力。所用院外素材须不存在版权纠纷。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设备应用：4K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及以上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高清摄像机与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专业镜头组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；摇臂\三脚架\脚轮\滑轨；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4K及以上高清无人机，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苹果非线性编辑机，达芬奇调色系统。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出片要求：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要求对片头、片尾进行单独包装制作，统一风格；要求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突出体现时代精神和未来感，精心梳理医院发展脉络，凝炼医院的闪光点，充分展示医院核心文化内涵，制作单位须具有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优异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的文本创意能力和拍摄制作水平，成片要体现出面向未来、大气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恢弘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医院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特色和人文关怀等特质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根据内容剪切二个版本，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8-10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分钟版、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3-5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分钟版。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20B2F"/>
    <w:rsid w:val="3F22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2022-04-27T02:33:00Z</dcterms:created>
  <dc:creator>一白山人</dc:creator>
  <cp:lastModifiedBy>一白山人</cp:lastModifiedBy>
  <dcterms:modified xsi:type="dcterms:W3CDTF">2022-04-27T02:33:26Z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47F163B942D847FB8E2C85A4F25449BB</vt:lpwstr>
  </property>
</Properties>
</file>